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both"/>
        <w:rPr>
          <w:rFonts w:hint="eastAsia" w:ascii="黑体" w:hAnsi="黑体" w:eastAsia="黑体" w:cs="黑体"/>
          <w:bCs/>
          <w:color w:val="auto"/>
          <w:kern w:val="2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kern w:val="200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60" w:lineRule="exact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kern w:val="2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200"/>
          <w:sz w:val="44"/>
          <w:szCs w:val="44"/>
          <w:lang w:val="en-US" w:eastAsia="zh-CN"/>
        </w:rPr>
        <w:t>通用标准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Cs/>
          <w:color w:val="auto"/>
          <w:kern w:val="2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200"/>
          <w:sz w:val="44"/>
          <w:szCs w:val="44"/>
          <w:lang w:val="en-US" w:eastAsia="zh-CN"/>
        </w:rPr>
        <w:t xml:space="preserve">  </w:t>
      </w:r>
    </w:p>
    <w:tbl>
      <w:tblPr>
        <w:tblStyle w:val="4"/>
        <w:tblW w:w="0" w:type="auto"/>
        <w:jc w:val="center"/>
        <w:tblBorders>
          <w:top w:val="single" w:color="auto" w:sz="40" w:space="0"/>
          <w:left w:val="single" w:color="auto" w:sz="40" w:space="0"/>
          <w:bottom w:val="single" w:color="auto" w:sz="40" w:space="0"/>
          <w:right w:val="single" w:color="auto" w:sz="40" w:space="0"/>
          <w:insideH w:val="single" w:color="auto" w:sz="40" w:space="0"/>
          <w:insideV w:val="single" w:color="auto" w:sz="40" w:space="0"/>
        </w:tblBorders>
        <w:tblLayout w:type="fixed"/>
        <w:tblCellMar>
          <w:top w:w="15" w:type="dxa"/>
          <w:left w:w="28" w:type="dxa"/>
          <w:bottom w:w="15" w:type="dxa"/>
          <w:right w:w="15" w:type="dxa"/>
        </w:tblCellMar>
      </w:tblPr>
      <w:tblGrid>
        <w:gridCol w:w="2166"/>
        <w:gridCol w:w="18741"/>
      </w:tblGrid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28" w:type="dxa"/>
            <w:bottom w:w="15" w:type="dxa"/>
            <w:right w:w="15" w:type="dxa"/>
          </w:tblCellMar>
        </w:tblPrEx>
        <w:trPr>
          <w:trHeight w:val="704" w:hRule="atLeast"/>
          <w:jc w:val="center"/>
        </w:trPr>
        <w:tc>
          <w:tcPr>
            <w:tcW w:w="20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-PUA" w:hAnsi="宋体-PUA" w:eastAsia="宋体-PUA" w:cs="宋体-PUA"/>
                <w:b/>
                <w:bCs w:val="0"/>
                <w:color w:val="auto"/>
                <w:kern w:val="200"/>
                <w:sz w:val="32"/>
                <w:szCs w:val="32"/>
                <w:lang w:val="en-US" w:eastAsia="zh-CN"/>
              </w:rPr>
              <w:t>一、测绘地理信息安全保障措施和管理制度要求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28" w:type="dxa"/>
            <w:bottom w:w="15" w:type="dxa"/>
            <w:right w:w="15" w:type="dxa"/>
          </w:tblCellMar>
        </w:tblPrEx>
        <w:trPr>
          <w:trHeight w:val="670" w:hRule="atLeast"/>
          <w:jc w:val="center"/>
        </w:trPr>
        <w:tc>
          <w:tcPr>
            <w:tcW w:w="216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/>
                <w:color w:val="auto"/>
                <w:kern w:val="0"/>
                <w:sz w:val="28"/>
                <w:szCs w:val="28"/>
                <w:lang w:eastAsia="zh-CN"/>
              </w:rPr>
              <w:t>基本</w:t>
            </w: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8"/>
                <w:szCs w:val="28"/>
              </w:rPr>
              <w:t>要求</w:t>
            </w:r>
          </w:p>
        </w:tc>
        <w:tc>
          <w:tcPr>
            <w:tcW w:w="18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>设立测绘地理信息安全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保密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>工作机构。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28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1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18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2.从事涉密测绘业务的人员应当具有中华人民共和国国籍，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</w:rPr>
              <w:t>签订保密责任书，接受保密教育。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28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1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建立健全测绘地理信息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安全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保密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管理制度。明确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涉密人员管理、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保密要害部门部位管理、涉密设备与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eastAsia="zh-CN"/>
              </w:rPr>
              <w:t>存储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介质管理、涉密测绘成果全流程保密、保密自查等要求。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28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1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18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明确涉密测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8"/>
                <w:szCs w:val="28"/>
                <w:lang w:eastAsia="zh-CN"/>
              </w:rPr>
              <w:t>绘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成果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使用审批流程和责任人，未经批准，涉密测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8"/>
                <w:szCs w:val="28"/>
                <w:lang w:eastAsia="zh-CN"/>
              </w:rPr>
              <w:t>绘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成果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不得带离保密要害部门部位。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28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1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18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5.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涉密存储介质专人管理，建立台账；涉密设备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8"/>
                <w:szCs w:val="28"/>
                <w:lang w:eastAsia="zh-CN"/>
              </w:rPr>
              <w:t>与存储介质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应粘贴密级标识；涉密计算机、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涉密存储介质不得接入互联网或其他公共信息网络；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涉密网络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与互联网或其他公共信息网络之间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 xml:space="preserve">实行物理隔离；涉密计算机外接端口封闭管理。 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28" w:type="dxa"/>
            <w:bottom w:w="15" w:type="dxa"/>
            <w:right w:w="15" w:type="dxa"/>
          </w:tblCellMar>
        </w:tblPrEx>
        <w:trPr>
          <w:trHeight w:val="603" w:hRule="atLeast"/>
          <w:jc w:val="center"/>
        </w:trPr>
        <w:tc>
          <w:tcPr>
            <w:tcW w:w="21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6.建立健全涉密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测绘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外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业安全保密管理制度，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落实监管人员和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保密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责任，外业所用涉密计算机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纳入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涉密单机进行管理。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28" w:type="dxa"/>
            <w:bottom w:w="15" w:type="dxa"/>
            <w:right w:w="15" w:type="dxa"/>
          </w:tblCellMar>
        </w:tblPrEx>
        <w:trPr>
          <w:trHeight w:val="477" w:hRule="atLeast"/>
          <w:jc w:val="center"/>
        </w:trPr>
        <w:tc>
          <w:tcPr>
            <w:tcW w:w="2166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7.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对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属于国家秘密的地理信息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的获取、持有、提供、利用情况进行登记并长期保存，实行可追溯管理。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28" w:type="dxa"/>
            <w:bottom w:w="15" w:type="dxa"/>
            <w:right w:w="15" w:type="dxa"/>
          </w:tblCellMar>
        </w:tblPrEx>
        <w:trPr>
          <w:trHeight w:val="470" w:hRule="atLeast"/>
          <w:jc w:val="center"/>
        </w:trPr>
        <w:tc>
          <w:tcPr>
            <w:tcW w:w="21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bCs/>
                <w:color w:val="auto"/>
                <w:kern w:val="0"/>
                <w:sz w:val="28"/>
                <w:szCs w:val="28"/>
                <w:lang w:val="en-US" w:eastAsia="zh-CN"/>
              </w:rPr>
              <w:t>8.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从事测绘活动，应当遵守保密法律法规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eastAsia="zh-CN"/>
              </w:rPr>
              <w:t>规章等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有关规定。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28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8"/>
                <w:szCs w:val="28"/>
              </w:rPr>
              <w:t>导航电子地图制作补充要求</w:t>
            </w:r>
          </w:p>
        </w:tc>
        <w:tc>
          <w:tcPr>
            <w:tcW w:w="18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1.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涉密网络应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配备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系统管理员、安全保密管理员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安全审计员。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28" w:type="dxa"/>
            <w:bottom w:w="15" w:type="dxa"/>
            <w:right w:w="15" w:type="dxa"/>
          </w:tblCellMar>
        </w:tblPrEx>
        <w:trPr>
          <w:trHeight w:val="437" w:hRule="atLeast"/>
          <w:jc w:val="center"/>
        </w:trPr>
        <w:tc>
          <w:tcPr>
            <w:tcW w:w="2166" w:type="dxa"/>
            <w:vMerge w:val="continue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2.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保密要害部门部位应当确定安全控制区域，采取电子监控、防盗报警等必要的安全防范措施。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28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16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配置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符合要求的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安全保密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专用产品，包括身份鉴别、访问控制、安全审计、保密技术防护（三合一）、漏洞扫描、计算机病毒查杀、边界安全防护和数据库安全等产品。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28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4.软件开发不得在保密要害部门部位内进行。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28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5.未经单位安全</w:t>
            </w: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lang w:val="en-US" w:eastAsia="zh-CN"/>
              </w:rPr>
              <w:t>保密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工作机构批准，单位内部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涉密测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8"/>
                <w:szCs w:val="28"/>
                <w:lang w:eastAsia="zh-CN"/>
              </w:rPr>
              <w:t>绘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成果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  <w:t>不得采用移动存储介质进行交换，应基于涉密网络操作，并进行审计。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28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6.涉密测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8"/>
                <w:szCs w:val="28"/>
                <w:lang w:eastAsia="zh-CN"/>
              </w:rPr>
              <w:t>绘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成果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对外提供应配置专人专机。专机需安装安全审计软件，进行实时审计。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28" w:type="dxa"/>
            <w:bottom w:w="15" w:type="dxa"/>
            <w:right w:w="15" w:type="dxa"/>
          </w:tblCellMar>
        </w:tblPrEx>
        <w:trPr>
          <w:trHeight w:val="356" w:hRule="atLeast"/>
          <w:jc w:val="center"/>
        </w:trPr>
        <w:tc>
          <w:tcPr>
            <w:tcW w:w="2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7.配置红黑电源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28" w:type="dxa"/>
            <w:bottom w:w="15" w:type="dxa"/>
            <w:right w:w="15" w:type="dxa"/>
          </w:tblCellMar>
        </w:tblPrEx>
        <w:trPr>
          <w:trHeight w:val="626" w:hRule="atLeast"/>
          <w:jc w:val="center"/>
        </w:trPr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8"/>
                <w:szCs w:val="28"/>
              </w:rPr>
              <w:t>互联网地图服务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8"/>
                <w:szCs w:val="28"/>
              </w:rPr>
              <w:t>补充要求</w:t>
            </w:r>
          </w:p>
        </w:tc>
        <w:tc>
          <w:tcPr>
            <w:tcW w:w="18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exact"/>
              <w:jc w:val="left"/>
              <w:textAlignment w:val="center"/>
              <w:outlineLvl w:val="9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存放地图数据的服务器设在中华人民共和国境内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2090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both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-PUA" w:hAnsi="宋体-PUA" w:eastAsia="宋体-PUA" w:cs="宋体-PUA"/>
                <w:b/>
                <w:bCs w:val="0"/>
                <w:color w:val="auto"/>
                <w:kern w:val="200"/>
                <w:sz w:val="32"/>
                <w:szCs w:val="32"/>
                <w:lang w:val="en-US" w:eastAsia="zh-CN"/>
              </w:rPr>
              <w:t>二、技术和质量保证体系要求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8"/>
                <w:szCs w:val="28"/>
              </w:rPr>
              <w:t>机构人员</w:t>
            </w:r>
          </w:p>
        </w:tc>
        <w:tc>
          <w:tcPr>
            <w:tcW w:w="18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1.设立技术和质量管理机构。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28" w:type="dxa"/>
            <w:bottom w:w="15" w:type="dxa"/>
            <w:right w:w="15" w:type="dxa"/>
          </w:tblCellMar>
        </w:tblPrEx>
        <w:trPr>
          <w:cantSplit/>
          <w:trHeight w:val="567" w:hRule="atLeast"/>
          <w:jc w:val="center"/>
        </w:trPr>
        <w:tc>
          <w:tcPr>
            <w:tcW w:w="21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18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2.明确技术和质量管理工作的主管领导、技术和质量管理机构的负责人。技术和质量管理机构负责人应当具备中级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以上测绘专业技术职称。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6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18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3.配备与业务相适应的质检人员。质检人员应当是测绘专业技术人员。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6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8"/>
                <w:szCs w:val="28"/>
              </w:rPr>
              <w:t>管理制度</w:t>
            </w:r>
          </w:p>
        </w:tc>
        <w:tc>
          <w:tcPr>
            <w:tcW w:w="187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4.建立健全技术管理制度，明确技术设计、技术处理和技术总结等要求。其中简单、日常性的测绘项目可以制定《作业指导书》。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6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87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5.建立健全质量检查管理制度，明确过程检查、最终检查、质量评定、检查记录和检查报告等要求。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166" w:type="dxa"/>
            <w:vMerge w:val="continue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18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6.建立健全人员培训与岗位管理制度，明确岗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位职责、岗前培训考核、继续教育等要求。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28" w:type="dxa"/>
            <w:bottom w:w="15" w:type="dxa"/>
            <w:right w:w="15" w:type="dxa"/>
          </w:tblCellMar>
        </w:tblPrEx>
        <w:trPr>
          <w:cantSplit/>
          <w:trHeight w:val="567" w:hRule="atLeast"/>
          <w:jc w:val="center"/>
        </w:trPr>
        <w:tc>
          <w:tcPr>
            <w:tcW w:w="216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18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.建立健全测绘仪器设备检定、校准管理制度，明确测绘仪器设备的检定、校准、日常管理等要求。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28" w:type="dxa"/>
            <w:bottom w:w="15" w:type="dxa"/>
            <w:right w:w="15" w:type="dxa"/>
          </w:tblCellMar>
        </w:tblPrEx>
        <w:trPr>
          <w:cantSplit/>
          <w:trHeight w:val="567" w:hRule="atLeast"/>
          <w:jc w:val="center"/>
        </w:trPr>
        <w:tc>
          <w:tcPr>
            <w:tcW w:w="216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8"/>
                <w:szCs w:val="28"/>
                <w:lang w:eastAsia="zh-CN"/>
              </w:rPr>
              <w:t>其他</w:t>
            </w:r>
          </w:p>
        </w:tc>
        <w:tc>
          <w:tcPr>
            <w:tcW w:w="18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测绘技术和质量保证体系应当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eastAsia="zh-CN"/>
              </w:rPr>
              <w:t>遵守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法律法规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eastAsia="zh-CN"/>
              </w:rPr>
              <w:t>规章等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有关规定。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2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9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-PUA" w:hAnsi="宋体-PUA" w:eastAsia="宋体-PUA" w:cs="宋体-PUA"/>
                <w:b/>
                <w:bCs w:val="0"/>
                <w:color w:val="auto"/>
                <w:kern w:val="200"/>
                <w:sz w:val="32"/>
                <w:szCs w:val="32"/>
                <w:lang w:val="en-US" w:eastAsia="zh-CN"/>
              </w:rPr>
              <w:t>三、测绘成果和资料档案管理制度要求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2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8"/>
                <w:szCs w:val="28"/>
              </w:rPr>
              <w:t>机构人员</w:t>
            </w:r>
          </w:p>
        </w:tc>
        <w:tc>
          <w:tcPr>
            <w:tcW w:w="18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1.设立测绘成果和资料档案管理机构。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2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18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2.明确测绘成果和资料档案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管理工作的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主管领导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工作人员及岗位职责。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2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8"/>
                <w:szCs w:val="28"/>
              </w:rPr>
              <w:t>管理制度</w:t>
            </w:r>
          </w:p>
        </w:tc>
        <w:tc>
          <w:tcPr>
            <w:tcW w:w="18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widowControl/>
              <w:adjustRightInd w:val="0"/>
              <w:snapToGrid w:val="0"/>
              <w:spacing w:line="500" w:lineRule="exac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3.建立健全测绘成果和资料档案管理制度，明确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测绘成果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接收、整理、保管、使用、销毁以及建立台账等管理要求。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28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18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4.建立健全测绘成果和资料档案信息化管理的安全保护制度。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28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8"/>
                <w:szCs w:val="28"/>
              </w:rPr>
              <w:t>设施设备</w:t>
            </w:r>
          </w:p>
        </w:tc>
        <w:tc>
          <w:tcPr>
            <w:tcW w:w="18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5.有专门的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测绘成果和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资料档案库房，具备防盗、防火、防潮、防光、防尘、防磁、防有害生物和污染等安全措施。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15" w:type="dxa"/>
            <w:left w:w="28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</w:rPr>
            </w:pPr>
          </w:p>
        </w:tc>
        <w:tc>
          <w:tcPr>
            <w:tcW w:w="18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adjustRightInd w:val="0"/>
              <w:snapToGrid w:val="0"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6.配有与业务相适应的测绘成果和资料档案专用柜架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cs="仿宋_GB2312"/>
                <w:color w:val="auto"/>
                <w:kern w:val="0"/>
                <w:sz w:val="28"/>
                <w:szCs w:val="28"/>
                <w:lang w:val="en-US" w:eastAsia="zh-CN"/>
              </w:rPr>
              <w:t>专用数据存储设备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0" w:space="0"/>
            <w:left w:val="single" w:color="auto" w:sz="40" w:space="0"/>
            <w:bottom w:val="single" w:color="auto" w:sz="40" w:space="0"/>
            <w:right w:val="single" w:color="auto" w:sz="40" w:space="0"/>
            <w:insideH w:val="single" w:color="auto" w:sz="40" w:space="0"/>
            <w:insideV w:val="single" w:color="auto" w:sz="40" w:space="0"/>
          </w:tblBorders>
          <w:tblCellMar>
            <w:top w:w="0" w:type="dxa"/>
            <w:left w:w="2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kern w:val="0"/>
                <w:sz w:val="28"/>
                <w:szCs w:val="28"/>
                <w:lang w:eastAsia="zh-CN"/>
              </w:rPr>
              <w:t>其他</w:t>
            </w:r>
          </w:p>
        </w:tc>
        <w:tc>
          <w:tcPr>
            <w:tcW w:w="18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50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测绘成果和资料档案管理应当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遵守法律法规规章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  <w:lang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</w:rPr>
              <w:t>有关</w:t>
            </w: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0"/>
                <w:sz w:val="28"/>
                <w:szCs w:val="28"/>
              </w:rPr>
              <w:t>规定。</w:t>
            </w:r>
          </w:p>
        </w:tc>
      </w:tr>
    </w:tbl>
    <w:p>
      <w:pPr>
        <w:rPr>
          <w:color w:val="auto"/>
        </w:rPr>
      </w:pPr>
    </w:p>
    <w:p>
      <w:pP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</w:pPr>
    </w:p>
    <w:p>
      <w:pPr>
        <w:rPr>
          <w:rFonts w:hint="default" w:ascii="仿宋" w:hAnsi="仿宋" w:eastAsia="仿宋" w:cs="仿宋"/>
          <w:b w:val="0"/>
          <w:bCs w:val="0"/>
          <w:color w:val="auto"/>
          <w:kern w:val="0"/>
          <w:sz w:val="32"/>
          <w:szCs w:val="32"/>
          <w:lang w:val="en-US" w:eastAsia="zh-CN"/>
        </w:rPr>
      </w:pPr>
    </w:p>
    <w:p/>
    <w:sectPr>
      <w:pgSz w:w="23757" w:h="16783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宋体-PUA">
    <w:altName w:val="宋体"/>
    <w:panose1 w:val="02010600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80AAA3"/>
    <w:multiLevelType w:val="singleLevel"/>
    <w:tmpl w:val="2380AAA3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AE40A2"/>
    <w:rsid w:val="01294D03"/>
    <w:rsid w:val="014277F8"/>
    <w:rsid w:val="018E04D0"/>
    <w:rsid w:val="029C03EE"/>
    <w:rsid w:val="02AB6460"/>
    <w:rsid w:val="031D77EC"/>
    <w:rsid w:val="038C2BA2"/>
    <w:rsid w:val="04A1412C"/>
    <w:rsid w:val="04C966F9"/>
    <w:rsid w:val="04F16281"/>
    <w:rsid w:val="053420C9"/>
    <w:rsid w:val="055555A4"/>
    <w:rsid w:val="0567723E"/>
    <w:rsid w:val="05771AA0"/>
    <w:rsid w:val="05F65709"/>
    <w:rsid w:val="06897691"/>
    <w:rsid w:val="08842E2E"/>
    <w:rsid w:val="08A6495E"/>
    <w:rsid w:val="09C434D2"/>
    <w:rsid w:val="09C8193A"/>
    <w:rsid w:val="09DD777D"/>
    <w:rsid w:val="0B5E7F06"/>
    <w:rsid w:val="0C717870"/>
    <w:rsid w:val="0CBD720D"/>
    <w:rsid w:val="0CE47382"/>
    <w:rsid w:val="0DA07795"/>
    <w:rsid w:val="0DAE4312"/>
    <w:rsid w:val="0F040770"/>
    <w:rsid w:val="0F1F4E6A"/>
    <w:rsid w:val="0F3C36AD"/>
    <w:rsid w:val="1066395F"/>
    <w:rsid w:val="10837555"/>
    <w:rsid w:val="10A42CA2"/>
    <w:rsid w:val="113F25A6"/>
    <w:rsid w:val="1148497B"/>
    <w:rsid w:val="11C04495"/>
    <w:rsid w:val="121D209C"/>
    <w:rsid w:val="13BD523E"/>
    <w:rsid w:val="153305EF"/>
    <w:rsid w:val="15475EC0"/>
    <w:rsid w:val="15807E9F"/>
    <w:rsid w:val="158909EC"/>
    <w:rsid w:val="166778D3"/>
    <w:rsid w:val="170C7C68"/>
    <w:rsid w:val="176A4F5C"/>
    <w:rsid w:val="176E4A4F"/>
    <w:rsid w:val="18D75F91"/>
    <w:rsid w:val="19B004CB"/>
    <w:rsid w:val="19D553D7"/>
    <w:rsid w:val="1A9B26F3"/>
    <w:rsid w:val="1B2819AE"/>
    <w:rsid w:val="1B687371"/>
    <w:rsid w:val="1BBB77C3"/>
    <w:rsid w:val="1BFE1859"/>
    <w:rsid w:val="1C20228D"/>
    <w:rsid w:val="1D0E38FD"/>
    <w:rsid w:val="1D8D08C8"/>
    <w:rsid w:val="1FAC75B8"/>
    <w:rsid w:val="1FF65AE2"/>
    <w:rsid w:val="207E6759"/>
    <w:rsid w:val="20D467B2"/>
    <w:rsid w:val="20D62755"/>
    <w:rsid w:val="21F2744D"/>
    <w:rsid w:val="22F90F69"/>
    <w:rsid w:val="230801D3"/>
    <w:rsid w:val="250A3773"/>
    <w:rsid w:val="25824837"/>
    <w:rsid w:val="26342627"/>
    <w:rsid w:val="27756E5C"/>
    <w:rsid w:val="280924AC"/>
    <w:rsid w:val="28784286"/>
    <w:rsid w:val="28880F15"/>
    <w:rsid w:val="28FD31B7"/>
    <w:rsid w:val="29234763"/>
    <w:rsid w:val="29E90B53"/>
    <w:rsid w:val="2A2921D4"/>
    <w:rsid w:val="2B2F1830"/>
    <w:rsid w:val="2BE74C26"/>
    <w:rsid w:val="2CE11BA1"/>
    <w:rsid w:val="2E947C84"/>
    <w:rsid w:val="2EE02ADA"/>
    <w:rsid w:val="2F982A69"/>
    <w:rsid w:val="2FF6068A"/>
    <w:rsid w:val="3146025E"/>
    <w:rsid w:val="318F118C"/>
    <w:rsid w:val="33FA0B8D"/>
    <w:rsid w:val="341F7B7B"/>
    <w:rsid w:val="34FE0FC8"/>
    <w:rsid w:val="35083388"/>
    <w:rsid w:val="35620718"/>
    <w:rsid w:val="35AB2894"/>
    <w:rsid w:val="3637690F"/>
    <w:rsid w:val="3659209C"/>
    <w:rsid w:val="36AE238A"/>
    <w:rsid w:val="36E17A8F"/>
    <w:rsid w:val="37D1263E"/>
    <w:rsid w:val="384155DC"/>
    <w:rsid w:val="3855755E"/>
    <w:rsid w:val="388642FE"/>
    <w:rsid w:val="395E3861"/>
    <w:rsid w:val="39F1179E"/>
    <w:rsid w:val="3A075443"/>
    <w:rsid w:val="3AA01AB3"/>
    <w:rsid w:val="3C0A16D8"/>
    <w:rsid w:val="3C253DF0"/>
    <w:rsid w:val="3C2D0F2C"/>
    <w:rsid w:val="3C5929CF"/>
    <w:rsid w:val="3C685052"/>
    <w:rsid w:val="3CCA77A8"/>
    <w:rsid w:val="3D3C2C90"/>
    <w:rsid w:val="3DF55EF1"/>
    <w:rsid w:val="3EC72611"/>
    <w:rsid w:val="3FE432AF"/>
    <w:rsid w:val="413A4DF0"/>
    <w:rsid w:val="41686FC0"/>
    <w:rsid w:val="4187370B"/>
    <w:rsid w:val="42A446D9"/>
    <w:rsid w:val="42B93261"/>
    <w:rsid w:val="42D83D96"/>
    <w:rsid w:val="43161581"/>
    <w:rsid w:val="43992BF0"/>
    <w:rsid w:val="441834BB"/>
    <w:rsid w:val="44377F9A"/>
    <w:rsid w:val="44A72140"/>
    <w:rsid w:val="462745EB"/>
    <w:rsid w:val="46D51127"/>
    <w:rsid w:val="47857557"/>
    <w:rsid w:val="47EA6BEC"/>
    <w:rsid w:val="480530E7"/>
    <w:rsid w:val="48391B3E"/>
    <w:rsid w:val="498F23C5"/>
    <w:rsid w:val="4AD22B27"/>
    <w:rsid w:val="4B156A50"/>
    <w:rsid w:val="4B5D3488"/>
    <w:rsid w:val="4D393E21"/>
    <w:rsid w:val="4D9E1801"/>
    <w:rsid w:val="4DF5226F"/>
    <w:rsid w:val="4E670C8B"/>
    <w:rsid w:val="4E84018E"/>
    <w:rsid w:val="4FB01021"/>
    <w:rsid w:val="4FE7785A"/>
    <w:rsid w:val="53041B49"/>
    <w:rsid w:val="535470BB"/>
    <w:rsid w:val="53AE40A2"/>
    <w:rsid w:val="54563A1B"/>
    <w:rsid w:val="5465243B"/>
    <w:rsid w:val="547D4C27"/>
    <w:rsid w:val="54826130"/>
    <w:rsid w:val="55747E22"/>
    <w:rsid w:val="55A62FE8"/>
    <w:rsid w:val="582B47DA"/>
    <w:rsid w:val="58AA5C6F"/>
    <w:rsid w:val="58CA2A13"/>
    <w:rsid w:val="58F64622"/>
    <w:rsid w:val="59247456"/>
    <w:rsid w:val="5A587D4C"/>
    <w:rsid w:val="5A603F9F"/>
    <w:rsid w:val="5C1B7891"/>
    <w:rsid w:val="5C4860FE"/>
    <w:rsid w:val="5C5B72D3"/>
    <w:rsid w:val="5D5E418C"/>
    <w:rsid w:val="5E117BBE"/>
    <w:rsid w:val="5E200C43"/>
    <w:rsid w:val="5EE21CCF"/>
    <w:rsid w:val="5F212CC2"/>
    <w:rsid w:val="5F387122"/>
    <w:rsid w:val="5F8866AC"/>
    <w:rsid w:val="610C7552"/>
    <w:rsid w:val="614E3130"/>
    <w:rsid w:val="637C0DDC"/>
    <w:rsid w:val="644E367E"/>
    <w:rsid w:val="651707A6"/>
    <w:rsid w:val="65956704"/>
    <w:rsid w:val="66206B13"/>
    <w:rsid w:val="674832A7"/>
    <w:rsid w:val="688D5BE3"/>
    <w:rsid w:val="69874845"/>
    <w:rsid w:val="6988357B"/>
    <w:rsid w:val="69AA2677"/>
    <w:rsid w:val="6A860EF1"/>
    <w:rsid w:val="6C296722"/>
    <w:rsid w:val="6C36746C"/>
    <w:rsid w:val="6D332E54"/>
    <w:rsid w:val="6E38049A"/>
    <w:rsid w:val="6E6C7310"/>
    <w:rsid w:val="6F0D08CE"/>
    <w:rsid w:val="6F1331CA"/>
    <w:rsid w:val="6F162EB2"/>
    <w:rsid w:val="712E6DD8"/>
    <w:rsid w:val="717607E4"/>
    <w:rsid w:val="71894E7F"/>
    <w:rsid w:val="71DD4D6F"/>
    <w:rsid w:val="751B0DBA"/>
    <w:rsid w:val="75264C41"/>
    <w:rsid w:val="75884E48"/>
    <w:rsid w:val="76AE50F2"/>
    <w:rsid w:val="76B94CD2"/>
    <w:rsid w:val="770674E6"/>
    <w:rsid w:val="77DF5C5B"/>
    <w:rsid w:val="78630FAA"/>
    <w:rsid w:val="7A241710"/>
    <w:rsid w:val="7A9226B7"/>
    <w:rsid w:val="7A992C5D"/>
    <w:rsid w:val="7B1B4B27"/>
    <w:rsid w:val="7BDE12CB"/>
    <w:rsid w:val="7C1242DB"/>
    <w:rsid w:val="7C964F36"/>
    <w:rsid w:val="7D12157C"/>
    <w:rsid w:val="7D5A6065"/>
    <w:rsid w:val="7D9F6E81"/>
    <w:rsid w:val="7F52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2021-06-08T06:29:00Z</dcterms:created>
  <dc:creator>陈卉(陈卉:)</dc:creator>
  <cp:lastModifiedBy>陈卉(陈卉:)</cp:lastModifiedBy>
  <dcterms:modified xsi:type="dcterms:W3CDTF">2021-06-08T07:50:59Z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C935051CD144433398AECABB34A7E339</vt:lpwstr>
  </property>
</Properties>
</file>